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C68" w:rsidRDefault="00B34C68" w:rsidP="00597C84">
      <w:pPr>
        <w:spacing w:line="480" w:lineRule="auto"/>
        <w:jc w:val="center"/>
        <w:rPr>
          <w:rFonts w:ascii="Times New Roman" w:hAnsi="Times New Roman"/>
          <w:sz w:val="24"/>
        </w:rPr>
      </w:pPr>
    </w:p>
    <w:p w:rsidR="00B34C68" w:rsidRDefault="00B34C68" w:rsidP="00597C84">
      <w:pPr>
        <w:spacing w:line="480" w:lineRule="auto"/>
        <w:jc w:val="center"/>
        <w:rPr>
          <w:rFonts w:ascii="Times New Roman" w:hAnsi="Times New Roman"/>
          <w:sz w:val="24"/>
        </w:rPr>
      </w:pPr>
    </w:p>
    <w:p w:rsidR="00B34C68" w:rsidRDefault="00B34C68" w:rsidP="00597C84">
      <w:pPr>
        <w:spacing w:line="480" w:lineRule="auto"/>
        <w:jc w:val="center"/>
        <w:rPr>
          <w:rFonts w:ascii="Times New Roman" w:hAnsi="Times New Roman"/>
          <w:sz w:val="24"/>
        </w:rPr>
      </w:pPr>
      <w:bookmarkStart w:id="0" w:name="_GoBack"/>
      <w:bookmarkEnd w:id="0"/>
    </w:p>
    <w:p w:rsidR="00B34C68" w:rsidRDefault="00B34C68" w:rsidP="00597C84">
      <w:pPr>
        <w:spacing w:line="480" w:lineRule="auto"/>
        <w:jc w:val="center"/>
        <w:rPr>
          <w:rFonts w:ascii="Times New Roman" w:hAnsi="Times New Roman"/>
          <w:sz w:val="24"/>
        </w:rPr>
      </w:pPr>
    </w:p>
    <w:p w:rsidR="00B34C68" w:rsidRDefault="00B34C68" w:rsidP="00597C84">
      <w:pPr>
        <w:spacing w:line="480" w:lineRule="auto"/>
        <w:jc w:val="center"/>
        <w:rPr>
          <w:rFonts w:ascii="Times New Roman" w:hAnsi="Times New Roman"/>
          <w:sz w:val="24"/>
        </w:rPr>
      </w:pPr>
    </w:p>
    <w:p w:rsidR="00B34C68" w:rsidRDefault="00B34C68" w:rsidP="00597C84">
      <w:pPr>
        <w:spacing w:line="480" w:lineRule="auto"/>
        <w:jc w:val="center"/>
        <w:rPr>
          <w:rFonts w:ascii="Times New Roman" w:hAnsi="Times New Roman"/>
          <w:sz w:val="24"/>
        </w:rPr>
      </w:pPr>
    </w:p>
    <w:p w:rsidR="009227AC" w:rsidRDefault="00FD245A" w:rsidP="00597C84">
      <w:pPr>
        <w:spacing w:line="480" w:lineRule="auto"/>
        <w:jc w:val="center"/>
        <w:rPr>
          <w:rFonts w:ascii="Times New Roman" w:hAnsi="Times New Roman"/>
          <w:sz w:val="24"/>
        </w:rPr>
      </w:pPr>
      <w:r w:rsidRPr="00B34C68">
        <w:rPr>
          <w:rFonts w:ascii="Times New Roman" w:hAnsi="Times New Roman"/>
          <w:sz w:val="24"/>
        </w:rPr>
        <w:t>COMMUNITY CHANGE AND ADVOCACY</w:t>
      </w:r>
    </w:p>
    <w:p w:rsidR="00B34C68" w:rsidRDefault="00B34C68" w:rsidP="00597C84">
      <w:pPr>
        <w:spacing w:line="480" w:lineRule="auto"/>
        <w:jc w:val="center"/>
        <w:rPr>
          <w:rFonts w:ascii="Times New Roman" w:hAnsi="Times New Roman"/>
          <w:sz w:val="24"/>
        </w:rPr>
      </w:pPr>
      <w:r>
        <w:rPr>
          <w:rFonts w:ascii="Times New Roman" w:hAnsi="Times New Roman"/>
          <w:sz w:val="24"/>
        </w:rPr>
        <w:t>Student’s Name</w:t>
      </w:r>
    </w:p>
    <w:p w:rsidR="00B34C68" w:rsidRDefault="00B34C68" w:rsidP="00597C84">
      <w:pPr>
        <w:spacing w:line="480" w:lineRule="auto"/>
        <w:jc w:val="center"/>
        <w:rPr>
          <w:rFonts w:ascii="Times New Roman" w:hAnsi="Times New Roman"/>
          <w:sz w:val="24"/>
        </w:rPr>
      </w:pPr>
      <w:r>
        <w:rPr>
          <w:rFonts w:ascii="Times New Roman" w:hAnsi="Times New Roman"/>
          <w:sz w:val="24"/>
        </w:rPr>
        <w:t>Professor’s Name</w:t>
      </w:r>
    </w:p>
    <w:p w:rsidR="00B34C68" w:rsidRDefault="00B34C68" w:rsidP="00597C84">
      <w:pPr>
        <w:spacing w:line="480" w:lineRule="auto"/>
        <w:jc w:val="center"/>
        <w:rPr>
          <w:rFonts w:ascii="Times New Roman" w:hAnsi="Times New Roman"/>
          <w:sz w:val="24"/>
        </w:rPr>
      </w:pPr>
      <w:r>
        <w:rPr>
          <w:rFonts w:ascii="Times New Roman" w:hAnsi="Times New Roman"/>
          <w:sz w:val="24"/>
        </w:rPr>
        <w:t>Institutional Affiliation</w:t>
      </w:r>
    </w:p>
    <w:p w:rsidR="00B34C68" w:rsidRDefault="00B34C68" w:rsidP="00597C84">
      <w:pPr>
        <w:spacing w:line="480" w:lineRule="auto"/>
        <w:jc w:val="center"/>
        <w:rPr>
          <w:rFonts w:ascii="Times New Roman" w:hAnsi="Times New Roman"/>
          <w:sz w:val="24"/>
        </w:rPr>
      </w:pPr>
      <w:r>
        <w:rPr>
          <w:rFonts w:ascii="Times New Roman" w:hAnsi="Times New Roman"/>
          <w:sz w:val="24"/>
        </w:rPr>
        <w:t>Course Title</w:t>
      </w:r>
    </w:p>
    <w:p w:rsidR="00B34C68" w:rsidRDefault="00B34C68" w:rsidP="00597C84">
      <w:pPr>
        <w:spacing w:line="480" w:lineRule="auto"/>
        <w:jc w:val="center"/>
        <w:rPr>
          <w:rFonts w:ascii="Times New Roman" w:hAnsi="Times New Roman"/>
          <w:sz w:val="24"/>
        </w:rPr>
      </w:pPr>
      <w:r>
        <w:rPr>
          <w:rFonts w:ascii="Times New Roman" w:hAnsi="Times New Roman"/>
          <w:sz w:val="24"/>
        </w:rPr>
        <w:t>Date of Submission</w:t>
      </w:r>
    </w:p>
    <w:p w:rsidR="00597C84" w:rsidRDefault="00597C84" w:rsidP="00597C84">
      <w:pPr>
        <w:spacing w:line="480" w:lineRule="auto"/>
        <w:jc w:val="center"/>
        <w:rPr>
          <w:rFonts w:ascii="Times New Roman" w:hAnsi="Times New Roman"/>
          <w:sz w:val="24"/>
        </w:rPr>
      </w:pPr>
    </w:p>
    <w:p w:rsidR="00597C84" w:rsidRDefault="00597C84" w:rsidP="00597C84">
      <w:pPr>
        <w:spacing w:line="480" w:lineRule="auto"/>
        <w:jc w:val="center"/>
        <w:rPr>
          <w:rFonts w:ascii="Times New Roman" w:hAnsi="Times New Roman"/>
          <w:sz w:val="24"/>
        </w:rPr>
      </w:pPr>
    </w:p>
    <w:p w:rsidR="00597C84" w:rsidRDefault="00597C84" w:rsidP="00597C84">
      <w:pPr>
        <w:spacing w:line="480" w:lineRule="auto"/>
        <w:jc w:val="center"/>
        <w:rPr>
          <w:rFonts w:ascii="Times New Roman" w:hAnsi="Times New Roman"/>
          <w:sz w:val="24"/>
        </w:rPr>
      </w:pPr>
    </w:p>
    <w:p w:rsidR="00597C84" w:rsidRDefault="00597C84" w:rsidP="00597C84">
      <w:pPr>
        <w:spacing w:line="480" w:lineRule="auto"/>
        <w:jc w:val="center"/>
        <w:rPr>
          <w:rFonts w:ascii="Times New Roman" w:hAnsi="Times New Roman"/>
          <w:sz w:val="24"/>
        </w:rPr>
      </w:pPr>
    </w:p>
    <w:p w:rsidR="00597C84" w:rsidRDefault="00597C84" w:rsidP="00597C84">
      <w:pPr>
        <w:spacing w:line="480" w:lineRule="auto"/>
        <w:jc w:val="center"/>
        <w:rPr>
          <w:rFonts w:ascii="Times New Roman" w:hAnsi="Times New Roman"/>
          <w:sz w:val="24"/>
        </w:rPr>
      </w:pPr>
    </w:p>
    <w:p w:rsidR="00597C84" w:rsidRDefault="00597C84" w:rsidP="00597C84">
      <w:pPr>
        <w:spacing w:line="480" w:lineRule="auto"/>
        <w:jc w:val="center"/>
        <w:rPr>
          <w:rFonts w:ascii="Times New Roman" w:hAnsi="Times New Roman"/>
          <w:sz w:val="24"/>
        </w:rPr>
      </w:pPr>
    </w:p>
    <w:p w:rsidR="00B34C68" w:rsidRPr="00B34C68" w:rsidRDefault="00B34C68" w:rsidP="00597C84">
      <w:pPr>
        <w:spacing w:line="480" w:lineRule="auto"/>
        <w:jc w:val="center"/>
        <w:rPr>
          <w:rFonts w:ascii="Times New Roman" w:hAnsi="Times New Roman"/>
          <w:b/>
          <w:sz w:val="24"/>
          <w:u w:val="single"/>
        </w:rPr>
      </w:pPr>
      <w:r w:rsidRPr="00B34C68">
        <w:rPr>
          <w:rFonts w:ascii="Times New Roman" w:hAnsi="Times New Roman"/>
          <w:b/>
          <w:sz w:val="24"/>
          <w:u w:val="single"/>
        </w:rPr>
        <w:lastRenderedPageBreak/>
        <w:t>COMMUNITY CHANGE AND ADVOCACY</w:t>
      </w:r>
    </w:p>
    <w:p w:rsidR="00A95ECA" w:rsidRPr="00B34C68" w:rsidRDefault="00B34C68" w:rsidP="00597C84">
      <w:pPr>
        <w:spacing w:line="480" w:lineRule="auto"/>
        <w:ind w:firstLine="720"/>
        <w:jc w:val="both"/>
        <w:rPr>
          <w:rFonts w:ascii="Times New Roman" w:hAnsi="Times New Roman"/>
          <w:sz w:val="24"/>
        </w:rPr>
      </w:pPr>
      <w:r>
        <w:rPr>
          <w:rFonts w:ascii="Times New Roman" w:hAnsi="Times New Roman"/>
          <w:sz w:val="24"/>
        </w:rPr>
        <w:t>B</w:t>
      </w:r>
      <w:r w:rsidR="00D51D66" w:rsidRPr="00B34C68">
        <w:rPr>
          <w:rFonts w:ascii="Times New Roman" w:hAnsi="Times New Roman"/>
          <w:sz w:val="24"/>
        </w:rPr>
        <w:t>y definition, advocacy refers to the practice of actively supporting a cause of action and dissuading decision</w:t>
      </w:r>
      <w:r w:rsidR="00A95ECA" w:rsidRPr="00B34C68">
        <w:rPr>
          <w:rFonts w:ascii="Times New Roman" w:hAnsi="Times New Roman"/>
          <w:sz w:val="24"/>
        </w:rPr>
        <w:t xml:space="preserve"> makers to support it as well. </w:t>
      </w:r>
      <w:r w:rsidR="005D64E8" w:rsidRPr="00B34C68">
        <w:rPr>
          <w:rFonts w:ascii="Times New Roman" w:hAnsi="Times New Roman"/>
          <w:sz w:val="24"/>
        </w:rPr>
        <w:t xml:space="preserve">Advocacy as a practice is guided by </w:t>
      </w:r>
      <w:r w:rsidR="00CA5D41" w:rsidRPr="00B34C68">
        <w:rPr>
          <w:rFonts w:ascii="Times New Roman" w:hAnsi="Times New Roman"/>
          <w:sz w:val="24"/>
        </w:rPr>
        <w:t>an Advocacy Charter containing the guiding principles meant t</w:t>
      </w:r>
      <w:r w:rsidR="005D64E8" w:rsidRPr="00B34C68">
        <w:rPr>
          <w:rFonts w:ascii="Times New Roman" w:hAnsi="Times New Roman"/>
          <w:sz w:val="24"/>
        </w:rPr>
        <w:t>o ensure service is effectively discharged. One of the main principl</w:t>
      </w:r>
      <w:r w:rsidR="0007165B" w:rsidRPr="00B34C68">
        <w:rPr>
          <w:rFonts w:ascii="Times New Roman" w:hAnsi="Times New Roman"/>
          <w:sz w:val="24"/>
        </w:rPr>
        <w:t>es of advocacy is independence. The human rights advocates are independent from statutory organizations and also free from any kind of conflicts of interest when discharging their services</w:t>
      </w:r>
      <w:r w:rsidR="00112AB5" w:rsidRPr="00B34C68">
        <w:rPr>
          <w:rFonts w:ascii="Times New Roman" w:hAnsi="Times New Roman"/>
          <w:sz w:val="24"/>
        </w:rPr>
        <w:t xml:space="preserve"> (Young, 1992)</w:t>
      </w:r>
      <w:r w:rsidR="0007165B" w:rsidRPr="00B34C68">
        <w:rPr>
          <w:rFonts w:ascii="Times New Roman" w:hAnsi="Times New Roman"/>
          <w:sz w:val="24"/>
        </w:rPr>
        <w:t>. Another principle that governs the practice of advocacy is clarity of purpose</w:t>
      </w:r>
      <w:r w:rsidR="00CA5D41" w:rsidRPr="00B34C68">
        <w:rPr>
          <w:rFonts w:ascii="Times New Roman" w:hAnsi="Times New Roman"/>
          <w:sz w:val="24"/>
        </w:rPr>
        <w:t xml:space="preserve">. This principle requires the human rights advocates have to provide adequate information on the limitations and scope of their role to the organizations they work with and the people on behalf of which they advocate. Another very important principle of advocacy is equal opportunity, a principle which makes the human rights advocates </w:t>
      </w:r>
      <w:r w:rsidR="00DF6E6C" w:rsidRPr="00B34C68">
        <w:rPr>
          <w:rFonts w:ascii="Times New Roman" w:hAnsi="Times New Roman"/>
          <w:sz w:val="24"/>
        </w:rPr>
        <w:t xml:space="preserve">tackle any form of inequalities proactively with a lot of zeal. </w:t>
      </w:r>
    </w:p>
    <w:p w:rsidR="0007165B" w:rsidRPr="00B34C68" w:rsidRDefault="00DF6E6C" w:rsidP="00597C84">
      <w:pPr>
        <w:spacing w:line="480" w:lineRule="auto"/>
        <w:ind w:firstLine="720"/>
        <w:jc w:val="both"/>
        <w:rPr>
          <w:rFonts w:ascii="Times New Roman" w:hAnsi="Times New Roman"/>
          <w:sz w:val="24"/>
        </w:rPr>
      </w:pPr>
      <w:r w:rsidRPr="00B34C68">
        <w:rPr>
          <w:rFonts w:ascii="Times New Roman" w:hAnsi="Times New Roman"/>
          <w:sz w:val="24"/>
        </w:rPr>
        <w:t>Accessibility is another key principle that governs the practice of advocacy, the principle of which makes the advocacy services toll free to the people who are eligible. The principle of confidentiality is highly relevant to the practice of advocacy as it outlines how information about people is used by the advocates. To ensure effective service delivery, the principle of confidentiality is made to conform with the requirement of the Data Protection Act of 1998 and the Mental Capacity Act of 2005</w:t>
      </w:r>
      <w:r w:rsidR="00112AB5" w:rsidRPr="00B34C68">
        <w:rPr>
          <w:rFonts w:ascii="Times New Roman" w:hAnsi="Times New Roman"/>
          <w:sz w:val="24"/>
        </w:rPr>
        <w:t xml:space="preserve"> (</w:t>
      </w:r>
      <w:r w:rsidR="004B30A7" w:rsidRPr="00B34C68">
        <w:rPr>
          <w:rFonts w:ascii="Times New Roman" w:hAnsi="Times New Roman"/>
          <w:sz w:val="24"/>
        </w:rPr>
        <w:t>Rosenthal &amp; Rubenstein, 1993)</w:t>
      </w:r>
      <w:r w:rsidR="00A95ECA" w:rsidRPr="00B34C68">
        <w:rPr>
          <w:rFonts w:ascii="Times New Roman" w:hAnsi="Times New Roman"/>
          <w:sz w:val="24"/>
        </w:rPr>
        <w:t>. These principles are very vital in helping the advocates to achieve the purpose of their advocacy. Advocacy as a practice has two major purposes. The first purpose of advocacy is defined by UNFPA as the promotion and reinforcement of legislation, program or policy changes</w:t>
      </w:r>
      <w:r w:rsidR="00112AB5" w:rsidRPr="00B34C68">
        <w:rPr>
          <w:rFonts w:ascii="Times New Roman" w:hAnsi="Times New Roman"/>
          <w:sz w:val="24"/>
        </w:rPr>
        <w:t xml:space="preserve"> </w:t>
      </w:r>
      <w:r w:rsidR="00112AB5" w:rsidRPr="00B34C68">
        <w:rPr>
          <w:rFonts w:ascii="Times New Roman" w:hAnsi="Times New Roman"/>
          <w:sz w:val="24"/>
        </w:rPr>
        <w:t xml:space="preserve">(Noonan, </w:t>
      </w:r>
      <w:r w:rsidR="00112AB5" w:rsidRPr="00B34C68">
        <w:rPr>
          <w:rFonts w:ascii="Times New Roman" w:hAnsi="Times New Roman"/>
          <w:sz w:val="24"/>
        </w:rPr>
        <w:t>1965</w:t>
      </w:r>
      <w:r w:rsidR="004B30A7" w:rsidRPr="00B34C68">
        <w:rPr>
          <w:rFonts w:ascii="Times New Roman" w:hAnsi="Times New Roman"/>
          <w:sz w:val="24"/>
        </w:rPr>
        <w:t>)</w:t>
      </w:r>
      <w:r w:rsidR="00A95ECA" w:rsidRPr="00B34C68">
        <w:rPr>
          <w:rFonts w:ascii="Times New Roman" w:hAnsi="Times New Roman"/>
          <w:sz w:val="24"/>
        </w:rPr>
        <w:t>.</w:t>
      </w:r>
      <w:r w:rsidR="00455475" w:rsidRPr="00B34C68">
        <w:rPr>
          <w:rFonts w:ascii="Times New Roman" w:hAnsi="Times New Roman"/>
          <w:sz w:val="24"/>
        </w:rPr>
        <w:t xml:space="preserve"> The second purpose of advocacy which is directly derived from the work of advocates is to provide </w:t>
      </w:r>
      <w:r w:rsidR="0064395E" w:rsidRPr="00B34C68">
        <w:rPr>
          <w:rFonts w:ascii="Times New Roman" w:hAnsi="Times New Roman"/>
          <w:sz w:val="24"/>
        </w:rPr>
        <w:t xml:space="preserve">direct support to </w:t>
      </w:r>
      <w:r w:rsidR="0064395E" w:rsidRPr="00B34C68">
        <w:rPr>
          <w:rFonts w:ascii="Times New Roman" w:hAnsi="Times New Roman"/>
          <w:sz w:val="24"/>
        </w:rPr>
        <w:lastRenderedPageBreak/>
        <w:t>clients and advocacy users through the creation of a supportive environment. Advocates create a supportive environment by winning support from other people.</w:t>
      </w:r>
    </w:p>
    <w:p w:rsidR="000937FC" w:rsidRPr="00B34C68" w:rsidRDefault="00A1515B" w:rsidP="00597C84">
      <w:pPr>
        <w:spacing w:line="480" w:lineRule="auto"/>
        <w:ind w:firstLine="720"/>
        <w:jc w:val="both"/>
        <w:rPr>
          <w:rFonts w:ascii="Times New Roman" w:hAnsi="Times New Roman"/>
          <w:sz w:val="24"/>
        </w:rPr>
      </w:pPr>
      <w:r w:rsidRPr="00B34C68">
        <w:rPr>
          <w:rFonts w:ascii="Times New Roman" w:hAnsi="Times New Roman"/>
          <w:sz w:val="24"/>
        </w:rPr>
        <w:t>Advocacy plays a big role in influencing social change. One way through which advocacy affects social change is by the creation of or development of policies and programs that are meant to protect the rights of people</w:t>
      </w:r>
      <w:r w:rsidR="004B30A7" w:rsidRPr="00B34C68">
        <w:rPr>
          <w:rFonts w:ascii="Times New Roman" w:hAnsi="Times New Roman"/>
          <w:sz w:val="24"/>
        </w:rPr>
        <w:t xml:space="preserve"> </w:t>
      </w:r>
      <w:r w:rsidR="004B30A7" w:rsidRPr="00B34C68">
        <w:rPr>
          <w:rFonts w:ascii="Times New Roman" w:hAnsi="Times New Roman"/>
          <w:sz w:val="24"/>
        </w:rPr>
        <w:t>(Noonan, 1965)</w:t>
      </w:r>
      <w:r w:rsidRPr="00B34C68">
        <w:rPr>
          <w:rFonts w:ascii="Times New Roman" w:hAnsi="Times New Roman"/>
          <w:sz w:val="24"/>
        </w:rPr>
        <w:t xml:space="preserve">. </w:t>
      </w:r>
      <w:r w:rsidR="00CE0251" w:rsidRPr="00B34C68">
        <w:rPr>
          <w:rFonts w:ascii="Times New Roman" w:hAnsi="Times New Roman"/>
          <w:sz w:val="24"/>
        </w:rPr>
        <w:t xml:space="preserve">One example of advocacy involves the </w:t>
      </w:r>
      <w:r w:rsidRPr="00B34C68">
        <w:rPr>
          <w:rFonts w:ascii="Times New Roman" w:hAnsi="Times New Roman"/>
          <w:sz w:val="24"/>
        </w:rPr>
        <w:t>policies and programs of compensating the victims and survivors of domestic violence that are developed by the human rights advocates</w:t>
      </w:r>
      <w:r w:rsidR="00CE0251" w:rsidRPr="00B34C68">
        <w:rPr>
          <w:rFonts w:ascii="Times New Roman" w:hAnsi="Times New Roman"/>
          <w:sz w:val="24"/>
        </w:rPr>
        <w:t>. The development of these policies and programs affects social change by</w:t>
      </w:r>
      <w:r w:rsidRPr="00B34C68">
        <w:rPr>
          <w:rFonts w:ascii="Times New Roman" w:hAnsi="Times New Roman"/>
          <w:sz w:val="24"/>
        </w:rPr>
        <w:t xml:space="preserve"> help</w:t>
      </w:r>
      <w:r w:rsidR="00CE0251" w:rsidRPr="00B34C68">
        <w:rPr>
          <w:rFonts w:ascii="Times New Roman" w:hAnsi="Times New Roman"/>
          <w:sz w:val="24"/>
        </w:rPr>
        <w:t>ing</w:t>
      </w:r>
      <w:r w:rsidRPr="00B34C68">
        <w:rPr>
          <w:rFonts w:ascii="Times New Roman" w:hAnsi="Times New Roman"/>
          <w:sz w:val="24"/>
        </w:rPr>
        <w:t xml:space="preserve"> a great deal in </w:t>
      </w:r>
      <w:r w:rsidR="0048478B" w:rsidRPr="00B34C68">
        <w:rPr>
          <w:rFonts w:ascii="Times New Roman" w:hAnsi="Times New Roman"/>
          <w:sz w:val="24"/>
        </w:rPr>
        <w:t>reducing the cases of domestic violence within the society. By ensuring that the perpetrator</w:t>
      </w:r>
      <w:r w:rsidR="00542B06" w:rsidRPr="00B34C68">
        <w:rPr>
          <w:rFonts w:ascii="Times New Roman" w:hAnsi="Times New Roman"/>
          <w:sz w:val="24"/>
        </w:rPr>
        <w:t>s</w:t>
      </w:r>
      <w:r w:rsidR="0048478B" w:rsidRPr="00B34C68">
        <w:rPr>
          <w:rFonts w:ascii="Times New Roman" w:hAnsi="Times New Roman"/>
          <w:sz w:val="24"/>
        </w:rPr>
        <w:t xml:space="preserve"> of such domestic violence are adequately punished, advocacy helps to create awareness of the importance of respecting human rights by all people within the society, something that helps to bring a very positive social change that is highly desired.</w:t>
      </w:r>
      <w:r w:rsidR="00542B06" w:rsidRPr="00B34C68">
        <w:rPr>
          <w:rFonts w:ascii="Times New Roman" w:hAnsi="Times New Roman"/>
          <w:sz w:val="24"/>
        </w:rPr>
        <w:t xml:space="preserve"> </w:t>
      </w:r>
    </w:p>
    <w:p w:rsidR="003D5E35" w:rsidRPr="00B34C68" w:rsidRDefault="00542B06" w:rsidP="00597C84">
      <w:pPr>
        <w:spacing w:line="480" w:lineRule="auto"/>
        <w:ind w:firstLine="720"/>
        <w:jc w:val="both"/>
        <w:rPr>
          <w:rFonts w:ascii="Times New Roman" w:hAnsi="Times New Roman"/>
          <w:sz w:val="24"/>
        </w:rPr>
      </w:pPr>
      <w:r w:rsidRPr="00B34C68">
        <w:rPr>
          <w:rFonts w:ascii="Times New Roman" w:hAnsi="Times New Roman"/>
          <w:sz w:val="24"/>
        </w:rPr>
        <w:t xml:space="preserve">Another way through which advocacy affects social change is by following up on the implementation of human rights laws, policies and programs. While the government is majorly focused on the creation of such laws and policies, no much effort is given into their </w:t>
      </w:r>
      <w:r w:rsidR="00597668" w:rsidRPr="00B34C68">
        <w:rPr>
          <w:rFonts w:ascii="Times New Roman" w:hAnsi="Times New Roman"/>
          <w:sz w:val="24"/>
        </w:rPr>
        <w:t>implementation. The human rights advocacy comes in handy to ensure effective implementation of such policies, laws and programs is done to achie</w:t>
      </w:r>
      <w:r w:rsidR="00D912B0" w:rsidRPr="00B34C68">
        <w:rPr>
          <w:rFonts w:ascii="Times New Roman" w:hAnsi="Times New Roman"/>
          <w:sz w:val="24"/>
        </w:rPr>
        <w:t>ve the desired social results. I</w:t>
      </w:r>
      <w:r w:rsidR="00597668" w:rsidRPr="00B34C68">
        <w:rPr>
          <w:rFonts w:ascii="Times New Roman" w:hAnsi="Times New Roman"/>
          <w:sz w:val="24"/>
        </w:rPr>
        <w:t>n addition, advocacy affects social change by monitoring and evaluating the progress of implemented human rights programs to ensure adequate resources are allocated and properly used to promote the programs</w:t>
      </w:r>
      <w:r w:rsidR="004B30A7" w:rsidRPr="00B34C68">
        <w:rPr>
          <w:rFonts w:ascii="Times New Roman" w:hAnsi="Times New Roman"/>
          <w:sz w:val="24"/>
        </w:rPr>
        <w:t xml:space="preserve"> </w:t>
      </w:r>
      <w:r w:rsidR="004B30A7" w:rsidRPr="00B34C68">
        <w:rPr>
          <w:rFonts w:ascii="Times New Roman" w:hAnsi="Times New Roman"/>
          <w:sz w:val="24"/>
        </w:rPr>
        <w:t>(Noonan, 1965)</w:t>
      </w:r>
      <w:r w:rsidR="00597668" w:rsidRPr="00B34C68">
        <w:rPr>
          <w:rFonts w:ascii="Times New Roman" w:hAnsi="Times New Roman"/>
          <w:sz w:val="24"/>
        </w:rPr>
        <w:t>. By doing this, advocacy helps to ensure that the goals and objectives of such programs are met for the good of the society at large.</w:t>
      </w:r>
      <w:r w:rsidR="00F2627D" w:rsidRPr="00B34C68">
        <w:rPr>
          <w:rFonts w:ascii="Times New Roman" w:hAnsi="Times New Roman"/>
          <w:sz w:val="24"/>
        </w:rPr>
        <w:t xml:space="preserve"> An example of this advocacy involves ensuring that families of soldiers who die along their duty are properly compensated by the government so that such families do not suffer grave financial distress.</w:t>
      </w:r>
    </w:p>
    <w:p w:rsidR="00592342" w:rsidRDefault="00CE0251" w:rsidP="00597C84">
      <w:pPr>
        <w:spacing w:line="480" w:lineRule="auto"/>
        <w:ind w:firstLine="720"/>
        <w:jc w:val="both"/>
        <w:rPr>
          <w:rFonts w:ascii="Times New Roman" w:hAnsi="Times New Roman"/>
          <w:sz w:val="24"/>
        </w:rPr>
      </w:pPr>
      <w:r w:rsidRPr="00B34C68">
        <w:rPr>
          <w:rFonts w:ascii="Times New Roman" w:hAnsi="Times New Roman"/>
          <w:sz w:val="24"/>
        </w:rPr>
        <w:lastRenderedPageBreak/>
        <w:t>In conclusion, t</w:t>
      </w:r>
      <w:r w:rsidR="00150372" w:rsidRPr="00B34C68">
        <w:rPr>
          <w:rFonts w:ascii="Times New Roman" w:hAnsi="Times New Roman"/>
          <w:sz w:val="24"/>
        </w:rPr>
        <w:t>he hum</w:t>
      </w:r>
      <w:r w:rsidR="006536B5" w:rsidRPr="00B34C68">
        <w:rPr>
          <w:rFonts w:ascii="Times New Roman" w:hAnsi="Times New Roman"/>
          <w:sz w:val="24"/>
        </w:rPr>
        <w:t>an service professional plays a significant in advocacy. This is because the human service professional deals with a population that is largely composite of the marginalized group in the society which include but not limited to young helpless mothers, immigrants, uneducated, and the poor</w:t>
      </w:r>
      <w:r w:rsidR="004B30A7" w:rsidRPr="00B34C68">
        <w:rPr>
          <w:rFonts w:ascii="Times New Roman" w:hAnsi="Times New Roman"/>
          <w:sz w:val="24"/>
        </w:rPr>
        <w:t xml:space="preserve"> (</w:t>
      </w:r>
      <w:proofErr w:type="spellStart"/>
      <w:r w:rsidR="004B30A7" w:rsidRPr="00B34C68">
        <w:rPr>
          <w:rFonts w:ascii="Times New Roman" w:hAnsi="Times New Roman"/>
          <w:sz w:val="24"/>
        </w:rPr>
        <w:t>Etzion</w:t>
      </w:r>
      <w:proofErr w:type="spellEnd"/>
      <w:r w:rsidR="00112AB5" w:rsidRPr="00B34C68">
        <w:rPr>
          <w:rFonts w:ascii="Times New Roman" w:hAnsi="Times New Roman"/>
          <w:sz w:val="24"/>
        </w:rPr>
        <w:t xml:space="preserve"> &amp; Pines, 1986)</w:t>
      </w:r>
      <w:r w:rsidR="006536B5" w:rsidRPr="00B34C68">
        <w:rPr>
          <w:rFonts w:ascii="Times New Roman" w:hAnsi="Times New Roman"/>
          <w:sz w:val="24"/>
        </w:rPr>
        <w:t xml:space="preserve">. The human service professional’s main mission is to help these kinds of people get a better life, the mission of which largely involves linking them to government programs so they can access the help they need to alleviate their situation. </w:t>
      </w:r>
      <w:r w:rsidR="00602DCB" w:rsidRPr="00B34C68">
        <w:rPr>
          <w:rFonts w:ascii="Times New Roman" w:hAnsi="Times New Roman"/>
          <w:sz w:val="24"/>
        </w:rPr>
        <w:t>For this reason, the human service professional has a deeper and wider understanding of what kinds of people in the society qualify for government services. This information possessed by the human service professional is highly relevant in advocacy as helps to ensure that such people have access to government services and that such services are effectively delivered to those who need them most.</w:t>
      </w: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Default="00597C84" w:rsidP="00597C84">
      <w:pPr>
        <w:spacing w:line="480" w:lineRule="auto"/>
        <w:ind w:firstLine="720"/>
        <w:jc w:val="both"/>
        <w:rPr>
          <w:rFonts w:ascii="Times New Roman" w:hAnsi="Times New Roman"/>
          <w:sz w:val="24"/>
        </w:rPr>
      </w:pPr>
    </w:p>
    <w:p w:rsidR="00597C84" w:rsidRPr="00B34C68" w:rsidRDefault="00597C84" w:rsidP="00597C84">
      <w:pPr>
        <w:spacing w:line="480" w:lineRule="auto"/>
        <w:ind w:firstLine="720"/>
        <w:jc w:val="both"/>
        <w:rPr>
          <w:rFonts w:ascii="Times New Roman" w:hAnsi="Times New Roman"/>
          <w:sz w:val="24"/>
        </w:rPr>
      </w:pPr>
    </w:p>
    <w:p w:rsidR="001E658A" w:rsidRPr="00B34C68" w:rsidRDefault="001E658A" w:rsidP="00597C84">
      <w:pPr>
        <w:spacing w:line="480" w:lineRule="auto"/>
        <w:jc w:val="both"/>
        <w:rPr>
          <w:rFonts w:ascii="Times New Roman" w:hAnsi="Times New Roman"/>
          <w:sz w:val="24"/>
        </w:rPr>
      </w:pPr>
    </w:p>
    <w:p w:rsidR="001E658A" w:rsidRPr="00B34C68" w:rsidRDefault="001E658A" w:rsidP="00597C84">
      <w:pPr>
        <w:spacing w:line="480" w:lineRule="auto"/>
        <w:jc w:val="center"/>
        <w:rPr>
          <w:rFonts w:ascii="Times New Roman" w:hAnsi="Times New Roman"/>
          <w:b/>
          <w:sz w:val="24"/>
        </w:rPr>
      </w:pPr>
      <w:r w:rsidRPr="00B34C68">
        <w:rPr>
          <w:rFonts w:ascii="Times New Roman" w:hAnsi="Times New Roman"/>
          <w:b/>
          <w:sz w:val="24"/>
        </w:rPr>
        <w:lastRenderedPageBreak/>
        <w:t>References</w:t>
      </w:r>
    </w:p>
    <w:p w:rsidR="00B34C68" w:rsidRPr="00B34C68" w:rsidRDefault="00B34C68" w:rsidP="00597C84">
      <w:pPr>
        <w:spacing w:line="480" w:lineRule="auto"/>
        <w:ind w:left="720" w:hanging="720"/>
        <w:jc w:val="both"/>
        <w:rPr>
          <w:rFonts w:ascii="Times New Roman" w:hAnsi="Times New Roman"/>
          <w:sz w:val="24"/>
        </w:rPr>
      </w:pPr>
      <w:proofErr w:type="spellStart"/>
      <w:r w:rsidRPr="00B34C68">
        <w:rPr>
          <w:rFonts w:ascii="Times New Roman" w:hAnsi="Times New Roman"/>
          <w:sz w:val="24"/>
        </w:rPr>
        <w:t>Etzion</w:t>
      </w:r>
      <w:proofErr w:type="spellEnd"/>
      <w:r w:rsidRPr="00B34C68">
        <w:rPr>
          <w:rFonts w:ascii="Times New Roman" w:hAnsi="Times New Roman"/>
          <w:sz w:val="24"/>
        </w:rPr>
        <w:t>, D., &amp; Pines, A. (1986). Sex and culture in burnout and coping among human service professionals: A social psychological perspective. Journal of Cross-Cultural Psychology, 17(2), 191-209.</w:t>
      </w:r>
    </w:p>
    <w:p w:rsidR="00B34C68" w:rsidRPr="00B34C68" w:rsidRDefault="00B34C68" w:rsidP="00597C84">
      <w:pPr>
        <w:spacing w:line="480" w:lineRule="auto"/>
        <w:ind w:left="720" w:hanging="720"/>
        <w:jc w:val="both"/>
        <w:rPr>
          <w:rFonts w:ascii="Times New Roman" w:hAnsi="Times New Roman"/>
          <w:sz w:val="24"/>
        </w:rPr>
      </w:pPr>
      <w:r w:rsidRPr="00B34C68">
        <w:rPr>
          <w:rFonts w:ascii="Times New Roman" w:hAnsi="Times New Roman"/>
          <w:sz w:val="24"/>
        </w:rPr>
        <w:t>Noonan Jr, J. T. (1965). The purposes of advocacy and the limits of confidentiality. Mich. L. Rev., 64, 1485.</w:t>
      </w:r>
    </w:p>
    <w:p w:rsidR="00B34C68" w:rsidRPr="00B34C68" w:rsidRDefault="00B34C68" w:rsidP="00597C84">
      <w:pPr>
        <w:spacing w:line="480" w:lineRule="auto"/>
        <w:ind w:left="720" w:hanging="720"/>
        <w:jc w:val="both"/>
        <w:rPr>
          <w:rFonts w:ascii="Times New Roman" w:hAnsi="Times New Roman"/>
          <w:sz w:val="24"/>
        </w:rPr>
      </w:pPr>
      <w:bookmarkStart w:id="1" w:name="_Hlk522543726"/>
      <w:r w:rsidRPr="00B34C68">
        <w:rPr>
          <w:rFonts w:ascii="Times New Roman" w:hAnsi="Times New Roman"/>
          <w:sz w:val="24"/>
        </w:rPr>
        <w:t xml:space="preserve">Rosenthal, E., &amp; Rubenstein, L. S. (1993). </w:t>
      </w:r>
      <w:bookmarkEnd w:id="1"/>
      <w:r w:rsidRPr="00B34C68">
        <w:rPr>
          <w:rFonts w:ascii="Times New Roman" w:hAnsi="Times New Roman"/>
          <w:sz w:val="24"/>
        </w:rPr>
        <w:t>International human rights advocacy under the" Principles for the Protection of Persons with Mental Illness.". International Journal of Law and Psychiatry.</w:t>
      </w:r>
    </w:p>
    <w:p w:rsidR="00B34C68" w:rsidRPr="00B34C68" w:rsidRDefault="00B34C68" w:rsidP="00597C84">
      <w:pPr>
        <w:spacing w:line="480" w:lineRule="auto"/>
        <w:ind w:left="720" w:hanging="720"/>
        <w:jc w:val="both"/>
        <w:rPr>
          <w:rFonts w:ascii="Times New Roman" w:hAnsi="Times New Roman"/>
          <w:sz w:val="24"/>
        </w:rPr>
      </w:pPr>
      <w:r w:rsidRPr="00B34C68">
        <w:rPr>
          <w:rFonts w:ascii="Times New Roman" w:hAnsi="Times New Roman"/>
          <w:sz w:val="24"/>
        </w:rPr>
        <w:t xml:space="preserve">Young, D. R. (1992). </w:t>
      </w:r>
      <w:proofErr w:type="spellStart"/>
      <w:r w:rsidRPr="00B34C68">
        <w:rPr>
          <w:rFonts w:ascii="Times New Roman" w:hAnsi="Times New Roman"/>
          <w:sz w:val="24"/>
        </w:rPr>
        <w:t>Organising</w:t>
      </w:r>
      <w:proofErr w:type="spellEnd"/>
      <w:r w:rsidRPr="00B34C68">
        <w:rPr>
          <w:rFonts w:ascii="Times New Roman" w:hAnsi="Times New Roman"/>
          <w:sz w:val="24"/>
        </w:rPr>
        <w:t xml:space="preserve"> principles for international advocacy associations. </w:t>
      </w:r>
      <w:proofErr w:type="spellStart"/>
      <w:r w:rsidRPr="00B34C68">
        <w:rPr>
          <w:rFonts w:ascii="Times New Roman" w:hAnsi="Times New Roman"/>
          <w:sz w:val="24"/>
        </w:rPr>
        <w:t>Voluntas</w:t>
      </w:r>
      <w:proofErr w:type="spellEnd"/>
      <w:r w:rsidRPr="00B34C68">
        <w:rPr>
          <w:rFonts w:ascii="Times New Roman" w:hAnsi="Times New Roman"/>
          <w:sz w:val="24"/>
        </w:rPr>
        <w:t>: International Journal of Voluntary and Nonprofit Organizations, 3(1), 1-28.</w:t>
      </w:r>
    </w:p>
    <w:p w:rsidR="00112AB5" w:rsidRPr="00B34C68" w:rsidRDefault="00112AB5" w:rsidP="00597C84">
      <w:pPr>
        <w:spacing w:line="480" w:lineRule="auto"/>
        <w:jc w:val="both"/>
        <w:rPr>
          <w:rFonts w:ascii="Times New Roman" w:hAnsi="Times New Roman"/>
          <w:sz w:val="24"/>
        </w:rPr>
      </w:pPr>
    </w:p>
    <w:p w:rsidR="00A95ECA" w:rsidRPr="00B34C68" w:rsidRDefault="00A95ECA" w:rsidP="00597C84">
      <w:pPr>
        <w:spacing w:line="480" w:lineRule="auto"/>
        <w:jc w:val="both"/>
        <w:rPr>
          <w:rFonts w:ascii="Times New Roman" w:hAnsi="Times New Roman"/>
          <w:sz w:val="24"/>
        </w:rPr>
      </w:pPr>
    </w:p>
    <w:p w:rsidR="009227AC" w:rsidRPr="00B34C68" w:rsidRDefault="009227AC" w:rsidP="00597C84">
      <w:pPr>
        <w:spacing w:line="480" w:lineRule="auto"/>
        <w:jc w:val="both"/>
        <w:rPr>
          <w:rFonts w:ascii="Times New Roman" w:hAnsi="Times New Roman"/>
          <w:sz w:val="24"/>
        </w:rPr>
      </w:pPr>
    </w:p>
    <w:sectPr w:rsidR="009227AC" w:rsidRPr="00B34C68" w:rsidSect="00DC16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4C91" w:rsidRDefault="00564C91" w:rsidP="00FD245A">
      <w:pPr>
        <w:spacing w:after="0" w:line="240" w:lineRule="auto"/>
      </w:pPr>
      <w:r>
        <w:separator/>
      </w:r>
    </w:p>
  </w:endnote>
  <w:endnote w:type="continuationSeparator" w:id="0">
    <w:p w:rsidR="00564C91" w:rsidRDefault="00564C91" w:rsidP="00FD2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4C91" w:rsidRDefault="00564C91" w:rsidP="00FD245A">
      <w:pPr>
        <w:spacing w:after="0" w:line="240" w:lineRule="auto"/>
      </w:pPr>
      <w:r>
        <w:separator/>
      </w:r>
    </w:p>
  </w:footnote>
  <w:footnote w:type="continuationSeparator" w:id="0">
    <w:p w:rsidR="00564C91" w:rsidRDefault="00564C91" w:rsidP="00FD2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3846745"/>
      <w:docPartObj>
        <w:docPartGallery w:val="Page Numbers (Top of Page)"/>
        <w:docPartUnique/>
      </w:docPartObj>
    </w:sdtPr>
    <w:sdtEndPr>
      <w:rPr>
        <w:noProof/>
      </w:rPr>
    </w:sdtEndPr>
    <w:sdtContent>
      <w:p w:rsidR="00FD245A" w:rsidRDefault="00FD245A">
        <w:pPr>
          <w:pStyle w:val="Header"/>
          <w:jc w:val="right"/>
        </w:pPr>
        <w:r w:rsidRPr="00FD245A">
          <w:t>COMMUNITY CHANGE AND ADVOCACY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D245A" w:rsidRDefault="00FD2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1683399"/>
      <w:docPartObj>
        <w:docPartGallery w:val="Page Numbers (Top of Page)"/>
        <w:docPartUnique/>
      </w:docPartObj>
    </w:sdtPr>
    <w:sdtEndPr>
      <w:rPr>
        <w:noProof/>
      </w:rPr>
    </w:sdtEndPr>
    <w:sdtContent>
      <w:p w:rsidR="00DC1641" w:rsidRDefault="00DC1641">
        <w:pPr>
          <w:pStyle w:val="Header"/>
          <w:jc w:val="right"/>
        </w:pPr>
        <w:r>
          <w:t xml:space="preserve">Running Head: </w:t>
        </w:r>
        <w:r w:rsidRPr="00DC1641">
          <w:t>COMMUNITY CHANGE AND ADVOCACY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C1641" w:rsidRDefault="00DC16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7AC"/>
    <w:rsid w:val="0007165B"/>
    <w:rsid w:val="000937FC"/>
    <w:rsid w:val="00112AB5"/>
    <w:rsid w:val="00150372"/>
    <w:rsid w:val="001E658A"/>
    <w:rsid w:val="003D5E35"/>
    <w:rsid w:val="00455475"/>
    <w:rsid w:val="0048478B"/>
    <w:rsid w:val="004B30A7"/>
    <w:rsid w:val="00542B06"/>
    <w:rsid w:val="00564C91"/>
    <w:rsid w:val="0059151B"/>
    <w:rsid w:val="00592342"/>
    <w:rsid w:val="00597668"/>
    <w:rsid w:val="00597C84"/>
    <w:rsid w:val="005D64E8"/>
    <w:rsid w:val="00602DCB"/>
    <w:rsid w:val="0064395E"/>
    <w:rsid w:val="006536B5"/>
    <w:rsid w:val="009227AC"/>
    <w:rsid w:val="00956BCD"/>
    <w:rsid w:val="00A1515B"/>
    <w:rsid w:val="00A95ECA"/>
    <w:rsid w:val="00AC76A0"/>
    <w:rsid w:val="00AE575A"/>
    <w:rsid w:val="00B34C68"/>
    <w:rsid w:val="00CA5D41"/>
    <w:rsid w:val="00CE0251"/>
    <w:rsid w:val="00D51D66"/>
    <w:rsid w:val="00D912B0"/>
    <w:rsid w:val="00DC1641"/>
    <w:rsid w:val="00DF6E6C"/>
    <w:rsid w:val="00F2627D"/>
    <w:rsid w:val="00FD2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FFEAC"/>
  <w15:chartTrackingRefBased/>
  <w15:docId w15:val="{6BE4D8F4-6904-4C79-8F17-81E48326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5A"/>
  </w:style>
  <w:style w:type="paragraph" w:styleId="Footer">
    <w:name w:val="footer"/>
    <w:basedOn w:val="Normal"/>
    <w:link w:val="FooterChar"/>
    <w:uiPriority w:val="99"/>
    <w:unhideWhenUsed/>
    <w:rsid w:val="00FD2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17</cp:revision>
  <dcterms:created xsi:type="dcterms:W3CDTF">2018-08-20T09:59:00Z</dcterms:created>
  <dcterms:modified xsi:type="dcterms:W3CDTF">2018-08-20T12:59:00Z</dcterms:modified>
</cp:coreProperties>
</file>